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5" w:rsidRPr="00B918B4" w:rsidRDefault="00404313" w:rsidP="00B918B4">
      <w:pPr>
        <w:spacing w:before="120" w:after="0"/>
        <w:jc w:val="center"/>
        <w:rPr>
          <w:rFonts w:asciiTheme="minorHAnsi" w:hAnsiTheme="minorHAnsi" w:cs="Arial"/>
          <w:lang w:val="en-US"/>
        </w:rPr>
      </w:pPr>
      <w:r w:rsidRPr="00B918B4">
        <w:rPr>
          <w:rFonts w:asciiTheme="minorHAnsi" w:hAnsiTheme="minorHAnsi" w:cs="Arial"/>
          <w:b/>
          <w:lang w:val="en-US"/>
        </w:rPr>
        <w:t>COURSE OUTLINE</w:t>
      </w:r>
    </w:p>
    <w:p w:rsidR="00DC35D5" w:rsidRPr="00B918B4" w:rsidRDefault="00404313" w:rsidP="00B918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hAnsiTheme="minorHAnsi" w:cs="Arial"/>
          <w:b/>
          <w:color w:val="000000"/>
          <w:lang w:val="en-US"/>
        </w:rPr>
      </w:pPr>
      <w:r w:rsidRPr="00B918B4">
        <w:rPr>
          <w:rFonts w:asciiTheme="minorHAnsi" w:hAnsiTheme="minorHAns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DC35D5" w:rsidRPr="001A3491" w:rsidRDefault="001A3491" w:rsidP="001A3491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349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BUSINESS AND ECONOMICS</w:t>
            </w: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BUSINESS ADMINISTRATION</w:t>
            </w: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LEVEL OF STUDY</w:t>
            </w:r>
          </w:p>
        </w:tc>
        <w:tc>
          <w:tcPr>
            <w:tcW w:w="5231" w:type="dxa"/>
            <w:gridSpan w:val="5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i/>
                <w:color w:val="002060"/>
                <w:lang w:val="en-US"/>
              </w:rPr>
              <w:t>POSTGRADUATE/ EDUCATIONAL MANAGEMENT</w:t>
            </w: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COURSE UNIT CODE</w:t>
            </w:r>
          </w:p>
        </w:tc>
        <w:tc>
          <w:tcPr>
            <w:tcW w:w="1135" w:type="dxa"/>
          </w:tcPr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2</w:t>
            </w:r>
            <w:r w:rsidRPr="00B918B4">
              <w:rPr>
                <w:rFonts w:asciiTheme="minorHAnsi" w:hAnsiTheme="minorHAnsi" w:cs="Arial"/>
                <w:color w:val="002060"/>
                <w:vertAlign w:val="superscript"/>
                <w:lang w:val="en-US"/>
              </w:rPr>
              <w:t>ND</w:t>
            </w:r>
          </w:p>
        </w:tc>
      </w:tr>
      <w:tr w:rsidR="00DC35D5" w:rsidRPr="001A3491" w:rsidTr="001869DD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HUMAN RESOURCES MANAGEMENT IN LEARNING ORGANIZATIONS</w:t>
            </w:r>
          </w:p>
        </w:tc>
      </w:tr>
      <w:tr w:rsidR="00DC35D5" w:rsidRPr="00B918B4" w:rsidTr="001869DD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DC35D5" w:rsidRPr="00B918B4" w:rsidRDefault="00C70EDB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INDEPENDENT DIDACTIC ACTIVITIES</w:t>
            </w:r>
            <w:r w:rsidR="00DC35D5" w:rsidRPr="00B918B4">
              <w:rPr>
                <w:rFonts w:asciiTheme="minorHAnsi" w:hAnsiTheme="minorHAnsi" w:cs="Arial"/>
                <w:b/>
              </w:rPr>
              <w:t xml:space="preserve"> </w:t>
            </w:r>
            <w:r w:rsidR="00DC35D5" w:rsidRPr="00B918B4">
              <w:rPr>
                <w:rFonts w:asciiTheme="minorHAnsi" w:hAnsiTheme="minorHAnsi" w:cs="Arial"/>
                <w:b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ECTS CREDITS</w:t>
            </w:r>
          </w:p>
        </w:tc>
      </w:tr>
      <w:tr w:rsidR="00DC35D5" w:rsidRPr="00B918B4" w:rsidTr="001869DD">
        <w:trPr>
          <w:trHeight w:val="194"/>
        </w:trPr>
        <w:tc>
          <w:tcPr>
            <w:tcW w:w="5637" w:type="dxa"/>
            <w:gridSpan w:val="3"/>
          </w:tcPr>
          <w:p w:rsidR="00DC35D5" w:rsidRPr="00B918B4" w:rsidRDefault="00404313" w:rsidP="007A7309">
            <w:pPr>
              <w:spacing w:after="0" w:line="240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3</w:t>
            </w:r>
          </w:p>
        </w:tc>
        <w:tc>
          <w:tcPr>
            <w:tcW w:w="1240" w:type="dxa"/>
          </w:tcPr>
          <w:p w:rsidR="00DC35D5" w:rsidRPr="00FC4649" w:rsidRDefault="00FC4649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>
              <w:rPr>
                <w:rFonts w:asciiTheme="minorHAnsi" w:hAnsiTheme="minorHAnsi" w:cs="Arial"/>
                <w:color w:val="002060"/>
                <w:lang w:val="en-US"/>
              </w:rPr>
              <w:t>6</w:t>
            </w:r>
          </w:p>
        </w:tc>
      </w:tr>
      <w:tr w:rsidR="00DC35D5" w:rsidRPr="00B918B4" w:rsidTr="001869DD">
        <w:trPr>
          <w:trHeight w:val="599"/>
        </w:trPr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COURSE UNIT TYPE</w:t>
            </w:r>
          </w:p>
        </w:tc>
        <w:tc>
          <w:tcPr>
            <w:tcW w:w="5231" w:type="dxa"/>
            <w:gridSpan w:val="5"/>
          </w:tcPr>
          <w:p w:rsidR="001A3491" w:rsidRPr="00466C23" w:rsidRDefault="001A3491" w:rsidP="001A3491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66C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SCIENTIFIC AREA COURSE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PREREQUISITES: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231" w:type="dxa"/>
            <w:gridSpan w:val="5"/>
          </w:tcPr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LANGUAGE OF INSTRUCTION/ EXAMS</w:t>
            </w:r>
            <w:r w:rsidR="00DC35D5" w:rsidRPr="00B918B4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GREEK</w:t>
            </w: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YES (IN ENGLISH)</w:t>
            </w:r>
          </w:p>
        </w:tc>
      </w:tr>
      <w:tr w:rsidR="00DC35D5" w:rsidRPr="00B918B4" w:rsidTr="001869DD">
        <w:tc>
          <w:tcPr>
            <w:tcW w:w="3205" w:type="dxa"/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918B4">
              <w:rPr>
                <w:rFonts w:asciiTheme="minorHAnsi" w:hAnsiTheme="minorHAnsi" w:cs="Arial"/>
                <w:b/>
                <w:lang w:val="en-GB"/>
              </w:rPr>
              <w:t>MODULE</w:t>
            </w:r>
            <w:r w:rsidRPr="00B918B4">
              <w:rPr>
                <w:rFonts w:asciiTheme="minorHAnsi" w:hAnsiTheme="minorHAnsi" w:cs="Arial"/>
                <w:b/>
              </w:rPr>
              <w:t xml:space="preserve"> </w:t>
            </w:r>
            <w:r w:rsidRPr="00B918B4">
              <w:rPr>
                <w:rFonts w:asciiTheme="minorHAnsi" w:hAnsiTheme="minorHAnsi" w:cs="Arial"/>
                <w:b/>
                <w:lang w:val="en-GB"/>
              </w:rPr>
              <w:t>WED</w:t>
            </w:r>
            <w:r w:rsidRPr="00B918B4">
              <w:rPr>
                <w:rFonts w:asciiTheme="minorHAnsi" w:hAnsiTheme="minorHAnsi" w:cs="Arial"/>
                <w:b/>
              </w:rPr>
              <w:t xml:space="preserve"> </w:t>
            </w:r>
            <w:r w:rsidRPr="00B918B4">
              <w:rPr>
                <w:rFonts w:asciiTheme="minorHAnsi" w:hAnsiTheme="minorHAnsi" w:cs="Arial"/>
                <w:b/>
                <w:lang w:val="en-GB"/>
              </w:rPr>
              <w:t>PAGE (URL)</w:t>
            </w:r>
          </w:p>
        </w:tc>
        <w:tc>
          <w:tcPr>
            <w:tcW w:w="5231" w:type="dxa"/>
            <w:gridSpan w:val="5"/>
          </w:tcPr>
          <w:p w:rsidR="00DC35D5" w:rsidRPr="00B918B4" w:rsidRDefault="001A3491" w:rsidP="00B918B4">
            <w:pPr>
              <w:jc w:val="both"/>
              <w:rPr>
                <w:rFonts w:asciiTheme="minorHAnsi" w:hAnsiTheme="minorHAnsi" w:cs="Arial"/>
                <w:color w:val="002060"/>
              </w:rPr>
            </w:pPr>
            <w:r w:rsidRPr="001A3491">
              <w:rPr>
                <w:rFonts w:asciiTheme="minorHAnsi" w:hAnsiTheme="minorHAnsi" w:cs="Arial"/>
                <w:color w:val="002060"/>
              </w:rPr>
              <w:t>http://moodle.teipir.gr/course/view.php?id=448</w:t>
            </w:r>
          </w:p>
        </w:tc>
      </w:tr>
    </w:tbl>
    <w:p w:rsidR="00DC35D5" w:rsidRPr="00B918B4" w:rsidRDefault="00404313" w:rsidP="00B918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hAnsiTheme="minorHAnsi" w:cs="Arial"/>
          <w:b/>
          <w:color w:val="000000"/>
          <w:lang w:val="en-US"/>
        </w:rPr>
      </w:pPr>
      <w:r w:rsidRPr="00B918B4">
        <w:rPr>
          <w:rFonts w:asciiTheme="minorHAnsi" w:hAnsiTheme="minorHAnsi" w:cs="Arial"/>
          <w:b/>
          <w:color w:val="000000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DC35D5" w:rsidRPr="00B918B4" w:rsidTr="0097762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DC35D5" w:rsidRPr="00B918B4" w:rsidRDefault="0040431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LEARNING OUTCOMES</w:t>
            </w:r>
          </w:p>
        </w:tc>
      </w:tr>
      <w:tr w:rsidR="00DC35D5" w:rsidRPr="00B918B4" w:rsidTr="0097762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DC35D5" w:rsidRPr="00B918B4" w:rsidRDefault="00DC35D5" w:rsidP="00B918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</w:p>
        </w:tc>
      </w:tr>
      <w:tr w:rsidR="00DC35D5" w:rsidRPr="001A3491" w:rsidTr="0097762B">
        <w:tc>
          <w:tcPr>
            <w:tcW w:w="8472" w:type="dxa"/>
            <w:gridSpan w:val="2"/>
          </w:tcPr>
          <w:p w:rsidR="00874303" w:rsidRPr="00B918B4" w:rsidRDefault="000916E9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The orientation towards learning must constitute one of the basic abilities of organization, especially when we focus on the creation of a comparative advantage through the human resources development. </w:t>
            </w:r>
            <w:r w:rsidR="00D8596B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In order to learn and change, the members of the 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>organization</w:t>
            </w:r>
            <w:r w:rsidR="00D8596B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must have skills in understanding the acceptances, frames and rules that lead current activity and be in position to doubt and change them when it is necessary. </w:t>
            </w:r>
            <w:r w:rsidR="00E61588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In this way, organization can adjust its internal functions so as to 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>satisfy</w:t>
            </w:r>
            <w:r w:rsidR="00E61588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the changeable strategies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and environmental demands and avoid to get trapped in the past. Basically, the members of organizations are called to doubt the way in which they see and </w:t>
            </w:r>
            <w:r w:rsidR="00271F53" w:rsidRPr="00B918B4">
              <w:rPr>
                <w:rFonts w:asciiTheme="minorHAnsi" w:hAnsiTheme="minorHAnsi" w:cs="Arial"/>
                <w:color w:val="002060"/>
                <w:lang w:val="en-US"/>
              </w:rPr>
              <w:t>consider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the organizational reality and use different forms and intellectual shapes in order to create new skills, through which t</w:t>
            </w:r>
            <w:r w:rsidR="00271F53" w:rsidRPr="00B918B4">
              <w:rPr>
                <w:rFonts w:asciiTheme="minorHAnsi" w:hAnsiTheme="minorHAnsi" w:cs="Arial"/>
                <w:color w:val="002060"/>
                <w:lang w:val="en-US"/>
              </w:rPr>
              <w:t>hey will be able to expand the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ability </w:t>
            </w:r>
            <w:r w:rsidR="00271F5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they have </w:t>
            </w:r>
            <w:r w:rsidR="00874303" w:rsidRPr="00B918B4">
              <w:rPr>
                <w:rFonts w:asciiTheme="minorHAnsi" w:hAnsiTheme="minorHAnsi" w:cs="Arial"/>
                <w:color w:val="002060"/>
                <w:lang w:val="en-US"/>
              </w:rPr>
              <w:t>to create the future.</w:t>
            </w:r>
          </w:p>
          <w:p w:rsidR="00874303" w:rsidRPr="00B918B4" w:rsidRDefault="0087430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271F53" w:rsidRPr="00B918B4" w:rsidRDefault="00271F5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The course provides students with knowledge for the fundamental and most significant regions of Management and </w:t>
            </w:r>
            <w:r w:rsidR="00F55C45" w:rsidRPr="00B918B4">
              <w:rPr>
                <w:rFonts w:asciiTheme="minorHAnsi" w:hAnsiTheme="minorHAnsi" w:cs="Arial"/>
                <w:color w:val="002060"/>
                <w:lang w:val="en-US"/>
              </w:rPr>
              <w:t>H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uman resources </w:t>
            </w:r>
            <w:r w:rsidR="00F55C45" w:rsidRPr="00B918B4">
              <w:rPr>
                <w:rFonts w:asciiTheme="minorHAnsi" w:hAnsiTheme="minorHAnsi" w:cs="Arial"/>
                <w:color w:val="002060"/>
                <w:lang w:val="en-US"/>
              </w:rPr>
              <w:t>d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evelopment in </w:t>
            </w:r>
            <w:r w:rsidR="00F55C45" w:rsidRPr="00B918B4">
              <w:rPr>
                <w:rFonts w:asciiTheme="minorHAnsi" w:hAnsiTheme="minorHAnsi" w:cs="Arial"/>
                <w:color w:val="002060"/>
                <w:lang w:val="en-US"/>
              </w:rPr>
              <w:t>L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earning organizations by using notions from chaos sciences, complexity and systemic thinking. The limits of external interference are presented and the significance of self-organization</w:t>
            </w:r>
            <w:r w:rsidR="005533E9" w:rsidRPr="00B918B4">
              <w:rPr>
                <w:rFonts w:asciiTheme="minorHAnsi" w:hAnsiTheme="minorHAnsi" w:cs="Arial"/>
                <w:color w:val="002060"/>
                <w:lang w:val="en-US"/>
              </w:rPr>
              <w:t>,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so that changes in businesses will have acceptance and duration, is underlined.</w:t>
            </w:r>
          </w:p>
          <w:p w:rsidR="00271F53" w:rsidRPr="00B918B4" w:rsidRDefault="00271F53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5533E9" w:rsidRPr="00B918B4" w:rsidRDefault="005533E9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After the successful attendance of the course, the postgraduate student</w:t>
            </w:r>
            <w:r w:rsidR="00F55C45" w:rsidRPr="00B918B4">
              <w:rPr>
                <w:rFonts w:asciiTheme="minorHAnsi" w:hAnsiTheme="minorHAnsi" w:cs="Arial"/>
                <w:color w:val="002060"/>
                <w:lang w:val="en-US"/>
              </w:rPr>
              <w:t>s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will be in position:</w:t>
            </w:r>
          </w:p>
          <w:p w:rsidR="005533E9" w:rsidRPr="00B918B4" w:rsidRDefault="005533E9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436B23" w:rsidRPr="00B918B4" w:rsidRDefault="005533E9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To describe real organizational problems and define the most suitable methodological approach and the steps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they are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about to make in solving the problem (methodological approaches, analysis of the complexity, finding satisfying routes, tools utilization</w:t>
            </w:r>
            <w:r w:rsidR="003D462C" w:rsidRPr="00B918B4">
              <w:rPr>
                <w:rFonts w:asciiTheme="minorHAnsi" w:hAnsiTheme="minorHAnsi" w:cs="Arial"/>
                <w:color w:val="002060"/>
                <w:lang w:val="en-US"/>
              </w:rPr>
              <w:t>, implementation of change).</w:t>
            </w:r>
          </w:p>
          <w:p w:rsidR="00933C2F" w:rsidRPr="00B918B4" w:rsidRDefault="003D462C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lastRenderedPageBreak/>
              <w:t xml:space="preserve">To describe the way in which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t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he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y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will take advantage of the problem’s data processing results and support- by using arguments- the decisions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t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he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y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will make or suggest.</w:t>
            </w:r>
          </w:p>
          <w:p w:rsidR="003D462C" w:rsidRPr="00B918B4" w:rsidRDefault="003D462C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To be able to develop the experience or knowledge</w:t>
            </w:r>
            <w:r w:rsidR="00A27D37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of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previous cases, which are related to the particular examined problem and use them by adjusting them in </w:t>
            </w:r>
            <w:r w:rsidR="00A27D37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the 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new conditions or</w:t>
            </w:r>
            <w:r w:rsidR="00A27D37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proofErr w:type="gramStart"/>
            <w:r w:rsidR="00A27D37" w:rsidRPr="00B918B4">
              <w:rPr>
                <w:rFonts w:asciiTheme="minorHAnsi" w:hAnsiTheme="minorHAnsi" w:cs="Arial"/>
                <w:color w:val="002060"/>
                <w:lang w:val="en-US"/>
              </w:rPr>
              <w:t>particularities.</w:t>
            </w:r>
            <w:proofErr w:type="gramEnd"/>
          </w:p>
          <w:p w:rsidR="00DC35D5" w:rsidRPr="00B918B4" w:rsidRDefault="00A27D37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To analyze the organizational problems and catalytically support the acceleration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of organic processes of change,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which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are 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inhere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nt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in every organized system.</w:t>
            </w:r>
          </w:p>
          <w:p w:rsidR="00A27D37" w:rsidRPr="00B918B4" w:rsidRDefault="00A27D37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To be able to create the frame in which individuals develop their creativity and undertake initiatives without rules of behavior from above.</w:t>
            </w:r>
          </w:p>
          <w:p w:rsidR="00DC35D5" w:rsidRPr="00B918B4" w:rsidRDefault="00A27D37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To use the suitable methodological tools to support Management and human resources development</w:t>
            </w:r>
          </w:p>
          <w:p w:rsidR="00A27D37" w:rsidRPr="00B918B4" w:rsidRDefault="00A27D37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To analyze the data and results of the </w:t>
            </w:r>
            <w:r w:rsidR="00215A16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application 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of support tools of change and suggest satisfying routes in solving organizational problems that 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t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he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y examine and argue for their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strategic choice.</w:t>
            </w:r>
          </w:p>
          <w:p w:rsidR="00DC35D5" w:rsidRPr="00B918B4" w:rsidRDefault="00215A16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To take advantage of the constant </w:t>
            </w:r>
            <w:proofErr w:type="gram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feedba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ck</w:t>
            </w:r>
            <w:proofErr w:type="gramEnd"/>
            <w:r w:rsidR="005E5BF0">
              <w:rPr>
                <w:rFonts w:asciiTheme="minorHAnsi" w:hAnsiTheme="minorHAnsi" w:cs="Arial"/>
                <w:color w:val="002060"/>
                <w:lang w:val="en-US"/>
              </w:rPr>
              <w:t xml:space="preserve"> that support tools offer them 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by cr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e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ating alternative scripts of avoiding resistances and dead end points.</w:t>
            </w:r>
          </w:p>
          <w:p w:rsidR="00DC35D5" w:rsidRPr="00B918B4" w:rsidRDefault="00215A16" w:rsidP="00B918B4">
            <w:pPr>
              <w:numPr>
                <w:ilvl w:val="0"/>
                <w:numId w:val="25"/>
              </w:numPr>
              <w:spacing w:line="240" w:lineRule="auto"/>
              <w:ind w:left="714" w:hanging="357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To assess the results of processing and reconsider the model 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t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he</w:t>
            </w:r>
            <w:r w:rsidR="005E5BF0">
              <w:rPr>
                <w:rFonts w:asciiTheme="minorHAnsi" w:hAnsiTheme="minorHAnsi" w:cs="Arial"/>
                <w:color w:val="002060"/>
                <w:lang w:val="en-US"/>
              </w:rPr>
              <w:t>y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developed in dynamic environment conditions.</w:t>
            </w:r>
          </w:p>
        </w:tc>
      </w:tr>
      <w:tr w:rsidR="00DC35D5" w:rsidRPr="00B918B4" w:rsidTr="0097762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DC35D5" w:rsidRPr="00B918B4" w:rsidRDefault="00413161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lastRenderedPageBreak/>
              <w:t>GENERAL SKILLS</w:t>
            </w:r>
          </w:p>
        </w:tc>
      </w:tr>
      <w:tr w:rsidR="00DC35D5" w:rsidRPr="00B918B4" w:rsidTr="0097762B">
        <w:tc>
          <w:tcPr>
            <w:tcW w:w="8472" w:type="dxa"/>
            <w:gridSpan w:val="2"/>
          </w:tcPr>
          <w:p w:rsidR="00CB553A" w:rsidRPr="00B918B4" w:rsidRDefault="00CB553A" w:rsidP="00B9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</w:rPr>
              <w:t>•</w:t>
            </w:r>
            <w:r w:rsidRPr="00B918B4">
              <w:rPr>
                <w:rFonts w:asciiTheme="minorHAnsi" w:hAnsiTheme="minorHAnsi"/>
                <w:color w:val="002060"/>
              </w:rPr>
              <w:tab/>
            </w:r>
            <w:r w:rsidR="00CB5941" w:rsidRPr="00B918B4">
              <w:rPr>
                <w:rFonts w:asciiTheme="minorHAnsi" w:hAnsiTheme="minorHAnsi"/>
                <w:color w:val="002060"/>
                <w:lang w:val="en-US"/>
              </w:rPr>
              <w:t>Adjustment in new circumstances</w:t>
            </w:r>
          </w:p>
          <w:p w:rsidR="00DC35D5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Independent work</w:t>
            </w:r>
          </w:p>
          <w:p w:rsidR="00CB553A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Teamwork</w:t>
            </w:r>
          </w:p>
          <w:p w:rsidR="00CB5941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Criticize and self-criticize</w:t>
            </w:r>
          </w:p>
          <w:p w:rsidR="00CB5941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Advancement of free, creative and inductive thinking</w:t>
            </w:r>
          </w:p>
          <w:p w:rsidR="00CB5941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Work in an interdisciplinary environment</w:t>
            </w:r>
          </w:p>
          <w:p w:rsidR="00C916E5" w:rsidRPr="00B918B4" w:rsidRDefault="00CB5941" w:rsidP="00B918B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Theme="minorHAnsi" w:hAnsiTheme="minorHAnsi"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color w:val="002060"/>
                <w:lang w:val="en-US"/>
              </w:rPr>
              <w:t>Decision making</w:t>
            </w:r>
          </w:p>
          <w:p w:rsidR="00DC35D5" w:rsidRPr="00B918B4" w:rsidRDefault="00DC35D5" w:rsidP="00B9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Theme="minorHAnsi" w:hAnsiTheme="minorHAnsi"/>
                <w:color w:val="002060"/>
              </w:rPr>
            </w:pPr>
          </w:p>
        </w:tc>
      </w:tr>
    </w:tbl>
    <w:p w:rsidR="00DC35D5" w:rsidRPr="00B918B4" w:rsidRDefault="00413161" w:rsidP="00B918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hAnsiTheme="minorHAnsi" w:cs="Arial"/>
          <w:b/>
          <w:color w:val="000000"/>
        </w:rPr>
      </w:pPr>
      <w:r w:rsidRPr="00B918B4">
        <w:rPr>
          <w:rFonts w:asciiTheme="minorHAnsi" w:hAnsiTheme="minorHAnsi" w:cs="Arial"/>
          <w:b/>
          <w:color w:val="000000"/>
          <w:lang w:val="en-US"/>
        </w:rPr>
        <w:t>COURSE CONTENTS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DC35D5" w:rsidRPr="00B918B4" w:rsidTr="00BF6D32">
        <w:tc>
          <w:tcPr>
            <w:tcW w:w="8472" w:type="dxa"/>
          </w:tcPr>
          <w:p w:rsidR="00C42643" w:rsidRPr="00B918B4" w:rsidRDefault="00C4264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Introductory </w:t>
            </w:r>
            <w:r w:rsidR="00B918B4" w:rsidRPr="00B918B4">
              <w:rPr>
                <w:rFonts w:asciiTheme="minorHAnsi" w:hAnsiTheme="minorHAnsi" w:cs="Arial"/>
                <w:color w:val="002060"/>
                <w:lang w:val="en-US"/>
              </w:rPr>
              <w:t>concepts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of Organizational theory</w:t>
            </w:r>
          </w:p>
          <w:p w:rsidR="00DC35D5" w:rsidRPr="00B918B4" w:rsidRDefault="00DC35D5" w:rsidP="00B918B4">
            <w:pPr>
              <w:spacing w:after="0" w:line="240" w:lineRule="auto"/>
              <w:ind w:left="36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C42643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Machines, mechanical thought and bureaucratic organization</w:t>
            </w:r>
          </w:p>
          <w:p w:rsidR="00DC35D5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Origins of mechanistic organization</w:t>
            </w:r>
          </w:p>
          <w:p w:rsidR="00DC35D5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Classic theory of management &amp; planning of bureaucratic organizations</w:t>
            </w:r>
          </w:p>
          <w:p w:rsidR="00DC35D5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Scientific management</w:t>
            </w:r>
          </w:p>
          <w:p w:rsidR="00DC35D5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Advantages and restrictions</w:t>
            </w:r>
            <w:r w:rsidR="00DF3B4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of mechanistic view</w:t>
            </w:r>
          </w:p>
          <w:p w:rsidR="00DC35D5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  <w:tab w:val="num" w:pos="108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Applications- Case studies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</w:rPr>
            </w:pPr>
          </w:p>
          <w:p w:rsidR="00353FF4" w:rsidRPr="00B918B4" w:rsidRDefault="00C42643" w:rsidP="00B918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Organizations under the light of Biology</w:t>
            </w:r>
          </w:p>
          <w:p w:rsidR="00353FF4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Organizational needs</w:t>
            </w:r>
          </w:p>
          <w:p w:rsidR="00C42643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The meaning of environment: Open systems</w:t>
            </w:r>
          </w:p>
          <w:p w:rsidR="00353FF4" w:rsidRPr="00B918B4" w:rsidRDefault="00C426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Contingency theory: The adjustment of organization in the environment</w:t>
            </w:r>
          </w:p>
          <w:p w:rsidR="00C42643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The variety of species</w:t>
            </w:r>
          </w:p>
          <w:p w:rsidR="000F68E0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Advancing health and organization development</w:t>
            </w:r>
          </w:p>
          <w:p w:rsidR="000F68E0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lastRenderedPageBreak/>
              <w:t>Vies of organizations from the aspect of population ecology</w:t>
            </w:r>
          </w:p>
          <w:p w:rsidR="00FD04E1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Organizational ecology: the creation of a common future</w:t>
            </w:r>
          </w:p>
          <w:p w:rsidR="00C916E5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Advantages and restrictions of Organismic</w:t>
            </w:r>
            <w:r w:rsidR="00DF3B4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view</w:t>
            </w:r>
          </w:p>
          <w:p w:rsidR="000F68E0" w:rsidRPr="00B918B4" w:rsidRDefault="000F68E0" w:rsidP="00B918B4">
            <w:pPr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353FF4" w:rsidRPr="00B918B4" w:rsidRDefault="000F68E0" w:rsidP="00B918B4">
            <w:pPr>
              <w:numPr>
                <w:ilvl w:val="0"/>
                <w:numId w:val="30"/>
              </w:numPr>
              <w:spacing w:after="0" w:line="240" w:lineRule="auto"/>
              <w:ind w:left="851" w:hanging="425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Learning and self- organized Organizations: The brain organizations</w:t>
            </w:r>
          </w:p>
          <w:p w:rsidR="00B84E4F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Brain images</w:t>
            </w:r>
          </w:p>
          <w:p w:rsidR="000F68E0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Organizations as brains of processing information</w:t>
            </w:r>
          </w:p>
          <w:p w:rsidR="000F68E0" w:rsidRPr="00B918B4" w:rsidRDefault="000F68E0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Creating Learner organizations</w:t>
            </w:r>
          </w:p>
          <w:p w:rsidR="000F68E0" w:rsidRPr="00B918B4" w:rsidRDefault="00EF0BFB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Cybernetics, </w:t>
            </w:r>
            <w:r w:rsidR="00DF3B43" w:rsidRPr="00B918B4">
              <w:rPr>
                <w:rFonts w:asciiTheme="minorHAnsi" w:hAnsiTheme="minorHAnsi" w:cs="Arial"/>
                <w:color w:val="002060"/>
                <w:lang w:val="en-US"/>
              </w:rPr>
              <w:t>learning and studying to learn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Directions for the creation of “learning organizations”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Organizations as holographic brains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Principles of holographic planning</w:t>
            </w:r>
          </w:p>
          <w:p w:rsidR="00C916E5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Advantages and restrictions of brain view</w:t>
            </w:r>
          </w:p>
          <w:p w:rsidR="00DF3B43" w:rsidRPr="00B918B4" w:rsidRDefault="00DF3B43" w:rsidP="00B918B4">
            <w:pPr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DF3B43" w:rsidRPr="00B918B4" w:rsidRDefault="00DF3B43" w:rsidP="00B918B4">
            <w:pPr>
              <w:numPr>
                <w:ilvl w:val="0"/>
                <w:numId w:val="30"/>
              </w:numPr>
              <w:spacing w:after="0" w:line="240" w:lineRule="auto"/>
              <w:ind w:left="993" w:hanging="567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Systemic thinking &amp; Human resources management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Introduction to Systemic </w:t>
            </w:r>
            <w:r w:rsidR="00B918B4" w:rsidRPr="00B918B4">
              <w:rPr>
                <w:rFonts w:asciiTheme="minorHAnsi" w:hAnsiTheme="minorHAnsi" w:cs="Arial"/>
                <w:color w:val="002060"/>
                <w:lang w:val="en-US"/>
              </w:rPr>
              <w:t>Theory</w:t>
            </w:r>
          </w:p>
          <w:p w:rsidR="00B84E4F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S.W.O.T Analysis</w:t>
            </w:r>
            <w:r w:rsidR="000F77C7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(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Strengths</w:t>
            </w:r>
            <w:r w:rsidR="000F77C7" w:rsidRPr="00B918B4">
              <w:rPr>
                <w:rFonts w:asciiTheme="minorHAnsi" w:hAnsiTheme="minorHAnsi" w:cs="Arial"/>
                <w:color w:val="002060"/>
                <w:lang w:val="en-US"/>
              </w:rPr>
              <w:t>,</w:t>
            </w:r>
            <w:r w:rsid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="00987910" w:rsidRPr="00B918B4">
              <w:rPr>
                <w:rFonts w:asciiTheme="minorHAnsi" w:hAnsiTheme="minorHAnsi" w:cs="Arial"/>
                <w:color w:val="002060"/>
                <w:lang w:val="en-US"/>
              </w:rPr>
              <w:t>Weaknesses, Opportunities, Threats)</w:t>
            </w:r>
          </w:p>
          <w:p w:rsidR="000F77C7" w:rsidRPr="00B918B4" w:rsidRDefault="000F77C7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Polarity Management</w:t>
            </w:r>
          </w:p>
          <w:p w:rsidR="00B84E4F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Applications- Case studies</w:t>
            </w:r>
          </w:p>
          <w:p w:rsidR="00C916E5" w:rsidRPr="00B918B4" w:rsidRDefault="00C916E5" w:rsidP="00B918B4">
            <w:pPr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</w:p>
          <w:p w:rsidR="00DF3B43" w:rsidRPr="00B918B4" w:rsidRDefault="000F77C7" w:rsidP="00B918B4">
            <w:pPr>
              <w:numPr>
                <w:ilvl w:val="0"/>
                <w:numId w:val="30"/>
              </w:numPr>
              <w:spacing w:after="0" w:line="240" w:lineRule="auto"/>
              <w:ind w:left="1276" w:hanging="85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Balanced Scorecard</w:t>
            </w:r>
            <w:r w:rsidR="009634D9" w:rsidRPr="00B918B4">
              <w:rPr>
                <w:rFonts w:asciiTheme="minorHAnsi" w:hAnsiTheme="minorHAnsi" w:cs="Arial"/>
                <w:color w:val="002060"/>
                <w:lang w:val="en-US"/>
              </w:rPr>
              <w:t>-</w:t>
            </w:r>
            <w:r w:rsidR="00DF3B43" w:rsidRPr="00B918B4">
              <w:rPr>
                <w:rFonts w:asciiTheme="minorHAnsi" w:hAnsiTheme="minorHAnsi" w:cs="Arial"/>
                <w:color w:val="002060"/>
                <w:lang w:val="en-US"/>
              </w:rPr>
              <w:t>Management &amp;</w:t>
            </w:r>
            <w:r w:rsidR="009634D9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="00DF3B43" w:rsidRPr="00B918B4">
              <w:rPr>
                <w:rFonts w:asciiTheme="minorHAnsi" w:hAnsiTheme="minorHAnsi" w:cs="Arial"/>
                <w:color w:val="002060"/>
                <w:lang w:val="en-US"/>
              </w:rPr>
              <w:t>human resources development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The four aspects: Financial ,Customers, Internal procedures, development</w:t>
            </w:r>
            <w:r w:rsidR="00D84122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="00D84122">
              <w:rPr>
                <w:rFonts w:asciiTheme="minorHAnsi" w:hAnsiTheme="minorHAnsi" w:cs="Arial"/>
                <w:color w:val="002060"/>
                <w:lang w:val="en-US"/>
              </w:rPr>
              <w:t>i</w:t>
            </w:r>
            <w:bookmarkStart w:id="0" w:name="_GoBack"/>
            <w:bookmarkEnd w:id="0"/>
            <w:r w:rsidR="00D84122" w:rsidRPr="00B918B4">
              <w:rPr>
                <w:rFonts w:asciiTheme="minorHAnsi" w:hAnsiTheme="minorHAnsi" w:cs="Arial"/>
                <w:color w:val="002060"/>
                <w:lang w:val="en-US"/>
              </w:rPr>
              <w:t>nnovation</w:t>
            </w:r>
          </w:p>
          <w:p w:rsidR="00B84E4F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Strategic map</w:t>
            </w:r>
          </w:p>
          <w:p w:rsidR="00DF3B43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Objective aims-measures-targets-actions</w:t>
            </w:r>
          </w:p>
          <w:p w:rsidR="00DC35D5" w:rsidRPr="00B918B4" w:rsidRDefault="00DF3B43" w:rsidP="00B918B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1080"/>
              <w:jc w:val="both"/>
              <w:rPr>
                <w:rFonts w:asciiTheme="minorHAnsi" w:hAnsiTheme="minorHAnsi" w:cs="Arial"/>
                <w:color w:val="002060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Applications- Case studies</w:t>
            </w:r>
          </w:p>
        </w:tc>
      </w:tr>
    </w:tbl>
    <w:p w:rsidR="00DC35D5" w:rsidRPr="00B918B4" w:rsidRDefault="00413161" w:rsidP="00B918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hAnsiTheme="minorHAnsi" w:cs="Arial"/>
          <w:b/>
          <w:color w:val="000000"/>
          <w:lang w:val="en-US"/>
        </w:rPr>
      </w:pPr>
      <w:r w:rsidRPr="00B918B4">
        <w:rPr>
          <w:rFonts w:asciiTheme="minorHAnsi" w:hAnsiTheme="minorHAnsi" w:cs="Arial"/>
          <w:b/>
          <w:color w:val="000000"/>
          <w:lang w:val="en-US"/>
        </w:rPr>
        <w:lastRenderedPageBreak/>
        <w:t>TEACHING AND LEARNING METHODS- 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DC35D5" w:rsidRPr="00B918B4" w:rsidTr="00B25922">
        <w:tc>
          <w:tcPr>
            <w:tcW w:w="3306" w:type="dxa"/>
            <w:shd w:val="clear" w:color="auto" w:fill="DDD9C3"/>
          </w:tcPr>
          <w:p w:rsidR="00DC35D5" w:rsidRPr="00B918B4" w:rsidRDefault="00413161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MODE OF DELIVERY</w:t>
            </w:r>
          </w:p>
        </w:tc>
        <w:tc>
          <w:tcPr>
            <w:tcW w:w="5166" w:type="dxa"/>
          </w:tcPr>
          <w:p w:rsidR="00DC35D5" w:rsidRPr="001A3491" w:rsidRDefault="001A3491" w:rsidP="00B918B4">
            <w:pPr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>
              <w:rPr>
                <w:rFonts w:asciiTheme="minorHAnsi" w:hAnsiTheme="minorHAnsi"/>
                <w:iCs/>
                <w:color w:val="002060"/>
                <w:lang w:val="en-US"/>
              </w:rPr>
              <w:t>In-Class</w:t>
            </w:r>
          </w:p>
        </w:tc>
      </w:tr>
      <w:tr w:rsidR="00DC35D5" w:rsidRPr="001A3491" w:rsidTr="00B25922">
        <w:tc>
          <w:tcPr>
            <w:tcW w:w="3306" w:type="dxa"/>
            <w:shd w:val="clear" w:color="auto" w:fill="DDD9C3"/>
          </w:tcPr>
          <w:p w:rsidR="00DC35D5" w:rsidRPr="00B918B4" w:rsidRDefault="00413161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  <w:r w:rsidRPr="00B918B4">
              <w:rPr>
                <w:rFonts w:asciiTheme="minorHAnsi" w:hAnsiTheme="minorHAnsi" w:cs="Arial"/>
                <w:b/>
                <w:lang w:val="en-US"/>
              </w:rPr>
              <w:t>USE OF INFORMATION AND COMMUNICATION TECHNOLOGY</w:t>
            </w:r>
          </w:p>
        </w:tc>
        <w:tc>
          <w:tcPr>
            <w:tcW w:w="5166" w:type="dxa"/>
          </w:tcPr>
          <w:p w:rsidR="00DC35D5" w:rsidRPr="00B918B4" w:rsidRDefault="002353AB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Use of Information and Communication Technologies in Teaching and Communication with the students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2060"/>
                <w:lang w:val="en-US"/>
              </w:rPr>
            </w:pPr>
          </w:p>
        </w:tc>
      </w:tr>
      <w:tr w:rsidR="00DC35D5" w:rsidRPr="00B918B4" w:rsidTr="00754F53">
        <w:trPr>
          <w:trHeight w:val="2634"/>
        </w:trPr>
        <w:tc>
          <w:tcPr>
            <w:tcW w:w="3306" w:type="dxa"/>
            <w:shd w:val="clear" w:color="auto" w:fill="DDD9C3"/>
          </w:tcPr>
          <w:p w:rsidR="00754F53" w:rsidRPr="00B918B4" w:rsidRDefault="00413161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  <w:r w:rsidRPr="00B918B4">
              <w:rPr>
                <w:rFonts w:asciiTheme="minorHAnsi" w:hAnsiTheme="minorHAnsi" w:cs="Arial"/>
                <w:i/>
                <w:lang w:val="en-US"/>
              </w:rPr>
              <w:t>TEACHING METHODS</w:t>
            </w:r>
          </w:p>
          <w:p w:rsidR="00754F53" w:rsidRPr="00B918B4" w:rsidRDefault="00754F53" w:rsidP="00B918B4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754F53" w:rsidRPr="00B918B4" w:rsidRDefault="00754F53" w:rsidP="00B918B4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754F53" w:rsidRPr="00B918B4" w:rsidRDefault="00754F53" w:rsidP="00B918B4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DC35D5" w:rsidRPr="00B918B4" w:rsidRDefault="00DC35D5" w:rsidP="00B918B4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DC35D5" w:rsidRPr="00B918B4" w:rsidRDefault="002353A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i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b/>
                      <w:i/>
                      <w:lang w:val="en-US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DC35D5" w:rsidRPr="00B918B4" w:rsidRDefault="002353A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i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b/>
                      <w:i/>
                      <w:lang w:val="en-US"/>
                    </w:rPr>
                    <w:t>Semester workload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2353A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DC35D5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>39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2353A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i/>
                      <w:color w:val="002060"/>
                    </w:rPr>
                  </w:pPr>
                  <w:r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>Exercises- Actions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DC35D5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</w:rPr>
                  </w:pPr>
                  <w:r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>13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1A3491" w:rsidP="001A34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i/>
                      <w:color w:val="00206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 xml:space="preserve">Preparation of </w:t>
                  </w:r>
                  <w:r w:rsidR="00987910"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 xml:space="preserve">Group </w:t>
                  </w: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>Project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F0162B" w:rsidRDefault="00F0162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>45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491" w:rsidRPr="00466C23" w:rsidRDefault="001A3491" w:rsidP="001A3491">
                  <w:pPr>
                    <w:pStyle w:val="NormalWeb"/>
                    <w:shd w:val="clear" w:color="auto" w:fill="FFFFFF"/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466C23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Independent and Directed Learning</w:t>
                  </w:r>
                </w:p>
                <w:p w:rsidR="00DC35D5" w:rsidRPr="00B918B4" w:rsidRDefault="00DC35D5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F0162B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>5</w:t>
                  </w:r>
                  <w:r w:rsidR="00E67F99"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>0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1A3491" w:rsidP="001A3491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00206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 xml:space="preserve">Preparation of </w:t>
                  </w:r>
                  <w:r w:rsidR="00AB3764" w:rsidRPr="00B918B4">
                    <w:rPr>
                      <w:rFonts w:asciiTheme="minorHAnsi" w:hAnsiTheme="minorHAnsi" w:cs="Arial"/>
                      <w:color w:val="002060"/>
                      <w:lang w:val="en-US"/>
                    </w:rPr>
                    <w:t xml:space="preserve">Individual </w:t>
                  </w:r>
                  <w:r>
                    <w:rPr>
                      <w:rFonts w:asciiTheme="minorHAnsi" w:hAnsiTheme="minorHAnsi" w:cs="Arial"/>
                      <w:color w:val="002060"/>
                      <w:lang w:val="en-US"/>
                    </w:rPr>
                    <w:t>Project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535FB8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color w:val="00206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2060"/>
                      <w:lang w:val="en-US"/>
                    </w:rPr>
                    <w:t>2</w:t>
                  </w:r>
                  <w:r w:rsidR="00264967" w:rsidRPr="00B918B4">
                    <w:rPr>
                      <w:rFonts w:asciiTheme="minorHAnsi" w:hAnsiTheme="minorHAnsi" w:cs="Arial"/>
                      <w:b/>
                      <w:color w:val="002060"/>
                    </w:rPr>
                    <w:t>3</w:t>
                  </w:r>
                </w:p>
              </w:tc>
            </w:tr>
            <w:tr w:rsidR="00DC35D5" w:rsidRPr="00B918B4" w:rsidTr="004943F5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5D5" w:rsidRPr="00B918B4" w:rsidRDefault="00754F53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>Total</w:t>
                  </w:r>
                </w:p>
                <w:p w:rsidR="00DC35D5" w:rsidRPr="00B918B4" w:rsidRDefault="00DC35D5" w:rsidP="00B918B4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 xml:space="preserve">(25 </w:t>
                  </w:r>
                  <w:r w:rsidR="002353AB" w:rsidRPr="00B918B4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>hours workload per credit</w:t>
                  </w:r>
                  <w:r w:rsidRPr="00B918B4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>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5D5" w:rsidRPr="00B918B4" w:rsidRDefault="00DC35D5" w:rsidP="00535FB8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</w:pPr>
                  <w:r w:rsidRPr="00B918B4">
                    <w:rPr>
                      <w:rFonts w:asciiTheme="minorHAnsi" w:hAnsiTheme="minorHAnsi" w:cs="Arial"/>
                      <w:b/>
                      <w:i/>
                      <w:color w:val="002060"/>
                    </w:rPr>
                    <w:t>1</w:t>
                  </w:r>
                  <w:r w:rsidR="00535FB8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>7</w:t>
                  </w:r>
                  <w:r w:rsidR="00F0162B">
                    <w:rPr>
                      <w:rFonts w:asciiTheme="minorHAnsi" w:hAnsiTheme="minorHAnsi" w:cs="Arial"/>
                      <w:b/>
                      <w:i/>
                      <w:color w:val="002060"/>
                      <w:lang w:val="en-US"/>
                    </w:rPr>
                    <w:t>0</w:t>
                  </w:r>
                </w:p>
              </w:tc>
            </w:tr>
          </w:tbl>
          <w:p w:rsidR="00F6277E" w:rsidRPr="00B918B4" w:rsidRDefault="00F6277E" w:rsidP="00B918B4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</w:tc>
      </w:tr>
      <w:tr w:rsidR="00DC35D5" w:rsidRPr="001A3491" w:rsidTr="00BF6D32">
        <w:tc>
          <w:tcPr>
            <w:tcW w:w="3306" w:type="dxa"/>
          </w:tcPr>
          <w:p w:rsidR="00DC35D5" w:rsidRPr="00B918B4" w:rsidRDefault="004A7F96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lang w:val="en-US"/>
              </w:rPr>
            </w:pPr>
            <w:r w:rsidRPr="00B918B4">
              <w:rPr>
                <w:rFonts w:asciiTheme="minorHAnsi" w:hAnsiTheme="minorHAnsi" w:cs="Arial"/>
                <w:i/>
                <w:lang w:val="en-US"/>
              </w:rPr>
              <w:t>ASSESSMENT METHODS</w:t>
            </w:r>
          </w:p>
        </w:tc>
        <w:tc>
          <w:tcPr>
            <w:tcW w:w="5166" w:type="dxa"/>
          </w:tcPr>
          <w:p w:rsidR="00DC35D5" w:rsidRPr="00B918B4" w:rsidRDefault="00AB3764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u w:val="single"/>
                <w:lang w:val="en-US"/>
              </w:rPr>
              <w:t>Theoretical part</w:t>
            </w:r>
            <w:r w:rsidR="00DC35D5" w:rsidRPr="00B918B4">
              <w:rPr>
                <w:rFonts w:asciiTheme="minorHAnsi" w:hAnsiTheme="minorHAnsi"/>
                <w:iCs/>
                <w:color w:val="002060"/>
                <w:lang w:val="en-US"/>
              </w:rPr>
              <w:t>:</w:t>
            </w:r>
          </w:p>
          <w:p w:rsidR="00AB3764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</w:rPr>
              <w:t>Ι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. </w:t>
            </w:r>
            <w:r w:rsidR="004A7F96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Individual </w:t>
            </w:r>
            <w:r w:rsidR="00E955E4">
              <w:rPr>
                <w:rFonts w:asciiTheme="minorHAnsi" w:hAnsiTheme="minorHAnsi"/>
                <w:iCs/>
                <w:color w:val="002060"/>
                <w:lang w:val="en-US"/>
              </w:rPr>
              <w:t>Project</w:t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(40%) which contains:</w:t>
            </w:r>
          </w:p>
          <w:p w:rsidR="00AB3764" w:rsidRPr="00B918B4" w:rsidRDefault="00DC35D5" w:rsidP="00B918B4">
            <w:pPr>
              <w:spacing w:after="0" w:line="240" w:lineRule="auto"/>
              <w:ind w:left="267" w:hanging="267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-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ab/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Short case studies related to matters of management and human resources development in which will be assessed the degree that students are </w:t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lastRenderedPageBreak/>
              <w:t>able:</w:t>
            </w:r>
          </w:p>
          <w:p w:rsidR="00AB3764" w:rsidRPr="00B918B4" w:rsidRDefault="00AB3764" w:rsidP="00B918B4">
            <w:pPr>
              <w:spacing w:after="0" w:line="240" w:lineRule="auto"/>
              <w:ind w:left="267" w:hanging="267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to </w:t>
            </w:r>
            <w:r w:rsidR="00B918B4" w:rsidRPr="00B918B4">
              <w:rPr>
                <w:rFonts w:asciiTheme="minorHAnsi" w:hAnsiTheme="minorHAnsi"/>
                <w:iCs/>
                <w:color w:val="002060"/>
                <w:lang w:val="en-US"/>
              </w:rPr>
              <w:t>analyze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data and the conditions of the case study,</w:t>
            </w:r>
          </w:p>
          <w:p w:rsidR="00AB3764" w:rsidRPr="00B918B4" w:rsidRDefault="00AB3764" w:rsidP="00B918B4">
            <w:pPr>
              <w:spacing w:after="0" w:line="240" w:lineRule="auto"/>
              <w:ind w:left="267" w:hanging="267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to </w:t>
            </w:r>
            <w:proofErr w:type="spellStart"/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modelize</w:t>
            </w:r>
            <w:proofErr w:type="spellEnd"/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problems with the most suitable method,</w:t>
            </w:r>
          </w:p>
          <w:p w:rsidR="00AB3764" w:rsidRPr="00B918B4" w:rsidRDefault="00AB3764" w:rsidP="00B918B4">
            <w:pPr>
              <w:spacing w:after="0" w:line="240" w:lineRule="auto"/>
              <w:ind w:left="267" w:hanging="267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proofErr w:type="gramStart"/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to</w:t>
            </w:r>
            <w:proofErr w:type="gramEnd"/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define solutions and </w:t>
            </w:r>
            <w:r w:rsidR="00B918B4" w:rsidRPr="00B918B4">
              <w:rPr>
                <w:rFonts w:asciiTheme="minorHAnsi" w:hAnsiTheme="minorHAnsi"/>
                <w:iCs/>
                <w:color w:val="002060"/>
                <w:lang w:val="en-US"/>
              </w:rPr>
              <w:t>analyze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the results.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</w:p>
          <w:p w:rsidR="00AB3764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</w:rPr>
              <w:t>ΙΙ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.</w:t>
            </w:r>
            <w:r w:rsidR="004A7F96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Presentation of </w:t>
            </w:r>
            <w:r w:rsidR="00E955E4">
              <w:rPr>
                <w:rFonts w:asciiTheme="minorHAnsi" w:hAnsiTheme="minorHAnsi"/>
                <w:iCs/>
                <w:color w:val="002060"/>
                <w:lang w:val="en-US"/>
              </w:rPr>
              <w:t>G</w:t>
            </w:r>
            <w:r w:rsidR="00B918B4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roup </w:t>
            </w:r>
            <w:r w:rsidR="00E955E4">
              <w:rPr>
                <w:rFonts w:asciiTheme="minorHAnsi" w:hAnsiTheme="minorHAnsi"/>
                <w:iCs/>
                <w:color w:val="002060"/>
                <w:lang w:val="en-US"/>
              </w:rPr>
              <w:t>Project</w:t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(60%)</w:t>
            </w:r>
          </w:p>
          <w:p w:rsidR="00842383" w:rsidRPr="00B918B4" w:rsidRDefault="00B918B4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It is about the analysis</w:t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and solution of a real study in which students should</w:t>
            </w:r>
            <w:r w:rsidR="00842383" w:rsidRPr="00B918B4">
              <w:rPr>
                <w:rFonts w:asciiTheme="minorHAnsi" w:hAnsiTheme="minorHAnsi"/>
                <w:iCs/>
                <w:color w:val="002060"/>
                <w:lang w:val="en-US"/>
              </w:rPr>
              <w:t>:</w:t>
            </w:r>
          </w:p>
          <w:p w:rsidR="00842383" w:rsidRPr="00B918B4" w:rsidRDefault="00AB3764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choose </w:t>
            </w:r>
            <w:r w:rsidR="00842383" w:rsidRPr="00B918B4">
              <w:rPr>
                <w:rFonts w:asciiTheme="minorHAnsi" w:hAnsiTheme="minorHAnsi"/>
                <w:iCs/>
                <w:color w:val="002060"/>
                <w:lang w:val="en-US"/>
              </w:rPr>
              <w:t>by using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arguments</w:t>
            </w:r>
            <w:r w:rsidR="00842383" w:rsidRPr="00B918B4">
              <w:rPr>
                <w:rFonts w:asciiTheme="minorHAnsi" w:hAnsiTheme="minorHAnsi"/>
                <w:iCs/>
                <w:color w:val="002060"/>
                <w:lang w:val="en-US"/>
              </w:rPr>
              <w:t>,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 t</w:t>
            </w:r>
            <w:r w:rsidR="00842383" w:rsidRPr="00B918B4">
              <w:rPr>
                <w:rFonts w:asciiTheme="minorHAnsi" w:hAnsiTheme="minorHAnsi"/>
                <w:iCs/>
                <w:color w:val="002060"/>
                <w:lang w:val="en-US"/>
              </w:rPr>
              <w:t>he most suitable methodology,</w:t>
            </w:r>
          </w:p>
          <w:p w:rsidR="00842383" w:rsidRPr="00B918B4" w:rsidRDefault="00842383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 xml:space="preserve">utilize </w:t>
            </w:r>
            <w:r w:rsidR="00AB3764" w:rsidRPr="00B918B4">
              <w:rPr>
                <w:rFonts w:asciiTheme="minorHAnsi" w:hAnsiTheme="minorHAnsi"/>
                <w:iCs/>
                <w:color w:val="002060"/>
                <w:lang w:val="en-US"/>
              </w:rPr>
              <w:t>suitable tools to analyze the complexity o</w:t>
            </w: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f the system that is viewed</w:t>
            </w:r>
          </w:p>
          <w:p w:rsidR="00842383" w:rsidRPr="00B918B4" w:rsidRDefault="00AB3764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examine all the alternative scripts or cases</w:t>
            </w:r>
            <w:r w:rsidR="00842383" w:rsidRPr="00B918B4">
              <w:rPr>
                <w:rFonts w:asciiTheme="minorHAnsi" w:hAnsiTheme="minorHAnsi"/>
                <w:iCs/>
                <w:color w:val="002060"/>
                <w:lang w:val="en-US"/>
              </w:rPr>
              <w:t>,</w:t>
            </w:r>
          </w:p>
          <w:p w:rsidR="00E67F99" w:rsidRPr="00B918B4" w:rsidRDefault="00842383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  <w:r w:rsidRPr="00B918B4">
              <w:rPr>
                <w:rFonts w:asciiTheme="minorHAnsi" w:hAnsiTheme="minorHAnsi"/>
                <w:iCs/>
                <w:color w:val="002060"/>
                <w:lang w:val="en-US"/>
              </w:rPr>
              <w:t>critically analyze the results of solution and suggest actions</w:t>
            </w:r>
          </w:p>
          <w:p w:rsidR="00E67F99" w:rsidRPr="00B918B4" w:rsidRDefault="00E67F99" w:rsidP="00B918B4">
            <w:pPr>
              <w:spacing w:after="0" w:line="240" w:lineRule="auto"/>
              <w:jc w:val="both"/>
              <w:rPr>
                <w:rFonts w:asciiTheme="minorHAnsi" w:hAnsiTheme="minorHAnsi"/>
                <w:iCs/>
                <w:color w:val="002060"/>
                <w:lang w:val="en-US"/>
              </w:rPr>
            </w:pPr>
          </w:p>
        </w:tc>
      </w:tr>
    </w:tbl>
    <w:p w:rsidR="00DC35D5" w:rsidRPr="00B918B4" w:rsidRDefault="00413161" w:rsidP="00B918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Theme="minorHAnsi" w:hAnsiTheme="minorHAnsi" w:cs="Arial"/>
          <w:b/>
          <w:color w:val="000000"/>
        </w:rPr>
      </w:pPr>
      <w:r w:rsidRPr="00B918B4">
        <w:rPr>
          <w:rFonts w:asciiTheme="minorHAnsi" w:hAnsiTheme="minorHAnsi" w:cs="Arial"/>
          <w:b/>
          <w:color w:val="000000"/>
          <w:lang w:val="en-US"/>
        </w:rPr>
        <w:lastRenderedPageBreak/>
        <w:t>RESOURCES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DC35D5" w:rsidRPr="00B918B4" w:rsidTr="00BF6D32">
        <w:tc>
          <w:tcPr>
            <w:tcW w:w="8472" w:type="dxa"/>
          </w:tcPr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</w:rPr>
            </w:pPr>
            <w:r w:rsidRPr="00B918B4">
              <w:rPr>
                <w:rFonts w:asciiTheme="minorHAnsi" w:hAnsiTheme="minorHAnsi" w:cs="Arial"/>
                <w:i/>
              </w:rPr>
              <w:t>-</w:t>
            </w:r>
            <w:r w:rsidR="00413161" w:rsidRPr="00B918B4">
              <w:rPr>
                <w:rFonts w:asciiTheme="minorHAnsi" w:hAnsiTheme="minorHAnsi" w:cs="Arial"/>
                <w:i/>
                <w:lang w:val="en-US"/>
              </w:rPr>
              <w:t>RECOMMENDED BOOKS</w:t>
            </w:r>
            <w:r w:rsidRPr="00B918B4">
              <w:rPr>
                <w:rFonts w:asciiTheme="minorHAnsi" w:hAnsiTheme="minorHAnsi" w:cs="Arial"/>
                <w:i/>
              </w:rPr>
              <w:t xml:space="preserve"> :</w:t>
            </w:r>
          </w:p>
          <w:p w:rsidR="00DC35D5" w:rsidRPr="00B918B4" w:rsidRDefault="00863EC0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Kaplan</w:t>
            </w:r>
            <w:proofErr w:type="gram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,R.S</w:t>
            </w:r>
            <w:proofErr w:type="spellEnd"/>
            <w:proofErr w:type="gram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and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Norton,D.P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(1996) The Balanced Scorecard-Measures that drive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performance.Boston:HBS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Press.</w:t>
            </w:r>
          </w:p>
          <w:p w:rsidR="00DC35D5" w:rsidRPr="00B918B4" w:rsidRDefault="00863EC0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Kaplan,R.S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and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Norton,D.P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(2001) The strategy-Focused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organization.Boston:HBS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Press</w:t>
            </w:r>
          </w:p>
          <w:p w:rsidR="00863EC0" w:rsidRPr="00B918B4" w:rsidRDefault="00863EC0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Kaplan,R.S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and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Norton,D.P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 </w:t>
            </w:r>
            <w:r w:rsidR="00F72533" w:rsidRPr="00B918B4">
              <w:rPr>
                <w:rFonts w:asciiTheme="minorHAnsi" w:hAnsiTheme="minorHAnsi" w:cs="Arial"/>
                <w:color w:val="002060"/>
                <w:lang w:val="en-US"/>
              </w:rPr>
              <w:t>(2006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) </w:t>
            </w:r>
            <w:r w:rsidR="00F72533"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ALIGNMENT Using the Balanced Scorecard to create corporate </w:t>
            </w:r>
            <w:proofErr w:type="spellStart"/>
            <w:r w:rsidR="00F72533" w:rsidRPr="00B918B4">
              <w:rPr>
                <w:rFonts w:asciiTheme="minorHAnsi" w:hAnsiTheme="minorHAnsi" w:cs="Arial"/>
                <w:color w:val="002060"/>
                <w:lang w:val="en-US"/>
              </w:rPr>
              <w:t>Synergies.</w:t>
            </w: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Boston:HBS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Press</w:t>
            </w:r>
          </w:p>
          <w:p w:rsidR="00DC35D5" w:rsidRPr="00B918B4" w:rsidRDefault="00F7253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Olve,N.-G.,Roy,J.and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Wetter,M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.(1999)Performance Drivers-a practical guide to using the balanced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scorecard.Chichester:Wiley</w:t>
            </w:r>
            <w:proofErr w:type="spellEnd"/>
          </w:p>
          <w:p w:rsidR="004D7105" w:rsidRPr="00B918B4" w:rsidRDefault="00F7253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Olve,N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.-G and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Sjostrand,A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.(2002)The balanced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scorecard.Oxford:Capstone</w:t>
            </w:r>
            <w:proofErr w:type="spellEnd"/>
          </w:p>
          <w:p w:rsidR="00DC35D5" w:rsidRPr="00B918B4" w:rsidRDefault="00F7253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Senge,P.M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.(1990)The Fifth Discipline-The Arts and practice of the Learning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organization.New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York:Currency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Doubleday</w:t>
            </w:r>
          </w:p>
          <w:p w:rsidR="008123C0" w:rsidRPr="00B918B4" w:rsidRDefault="008123C0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Senge,P.M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.(1994)The fifth discipline-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fieldbook.London:Nicolas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Brealey</w:t>
            </w:r>
            <w:proofErr w:type="spellEnd"/>
          </w:p>
          <w:p w:rsidR="00363E13" w:rsidRPr="00B918B4" w:rsidRDefault="00363E1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Gareth Morgan.(1997)Images of organization</w:t>
            </w:r>
          </w:p>
          <w:p w:rsidR="00363E13" w:rsidRPr="00B918B4" w:rsidRDefault="00363E13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Jeffrey Goldstein(1994)The Unshackled Organization: Facing the challenge of unpredictability through spontaneous </w:t>
            </w:r>
            <w:r w:rsidR="00DE42D2" w:rsidRPr="00B918B4">
              <w:rPr>
                <w:rFonts w:asciiTheme="minorHAnsi" w:hAnsiTheme="minorHAnsi" w:cs="Arial"/>
                <w:color w:val="002060"/>
                <w:lang w:val="en-US"/>
              </w:rPr>
              <w:t>reorganization</w:t>
            </w:r>
          </w:p>
          <w:p w:rsidR="00732FD9" w:rsidRPr="00B918B4" w:rsidRDefault="00732FD9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Stephen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P.Robbins</w:t>
            </w:r>
            <w:proofErr w:type="gram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,Timothy</w:t>
            </w:r>
            <w:proofErr w:type="spellEnd"/>
            <w:proofErr w:type="gram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proofErr w:type="spellStart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A.Judge</w:t>
            </w:r>
            <w:proofErr w:type="spellEnd"/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,(2011) Essentials of Organizational Behavior.</w:t>
            </w: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</w:rPr>
            </w:pPr>
            <w:r w:rsidRPr="00B918B4">
              <w:rPr>
                <w:rFonts w:asciiTheme="minorHAnsi" w:hAnsiTheme="minorHAnsi" w:cs="Arial"/>
                <w:i/>
              </w:rPr>
              <w:t>-</w:t>
            </w:r>
            <w:r w:rsidR="00413161" w:rsidRPr="00B918B4">
              <w:rPr>
                <w:rFonts w:asciiTheme="minorHAnsi" w:hAnsiTheme="minorHAnsi" w:cs="Arial"/>
                <w:i/>
                <w:lang w:val="en-US"/>
              </w:rPr>
              <w:t>RELATED SCIENTIFIC JOURNALS</w:t>
            </w:r>
            <w:r w:rsidRPr="00B918B4">
              <w:rPr>
                <w:rFonts w:asciiTheme="minorHAnsi" w:hAnsiTheme="minorHAnsi" w:cs="Arial"/>
                <w:i/>
              </w:rPr>
              <w:t>:</w:t>
            </w:r>
          </w:p>
          <w:p w:rsidR="00DC35D5" w:rsidRPr="00B918B4" w:rsidRDefault="00DC35D5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European Journal of Operational Research, Elsevier</w:t>
            </w:r>
          </w:p>
          <w:p w:rsidR="00327C36" w:rsidRPr="00B918B4" w:rsidRDefault="00327C36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Academy of Management</w:t>
            </w:r>
          </w:p>
          <w:p w:rsidR="00327C36" w:rsidRPr="00B918B4" w:rsidRDefault="00327C36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Journal of Management Studies</w:t>
            </w:r>
          </w:p>
          <w:p w:rsidR="00327C36" w:rsidRPr="00B918B4" w:rsidRDefault="00327C36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Journal of Organizational change management</w:t>
            </w:r>
          </w:p>
          <w:p w:rsidR="00054FCF" w:rsidRPr="00B918B4" w:rsidRDefault="00054FCF" w:rsidP="00B918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  <w:r w:rsidRPr="00B918B4">
              <w:rPr>
                <w:rFonts w:asciiTheme="minorHAnsi" w:hAnsiTheme="minorHAnsi" w:cs="Arial"/>
                <w:color w:val="002060"/>
                <w:lang w:val="en-US"/>
              </w:rPr>
              <w:t>Human Resource Management, Elsevier</w:t>
            </w:r>
          </w:p>
          <w:p w:rsidR="00DC35D5" w:rsidRPr="00B918B4" w:rsidRDefault="00DC35D5" w:rsidP="00B918B4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color w:val="002060"/>
                <w:lang w:val="en-US"/>
              </w:rPr>
            </w:pPr>
          </w:p>
          <w:p w:rsidR="00DC35D5" w:rsidRPr="00B918B4" w:rsidRDefault="00DC35D5" w:rsidP="00B918B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DC35D5" w:rsidRPr="00B918B4" w:rsidRDefault="00DC35D5" w:rsidP="00B918B4">
      <w:pPr>
        <w:jc w:val="both"/>
        <w:rPr>
          <w:rFonts w:asciiTheme="minorHAnsi" w:hAnsiTheme="minorHAnsi"/>
          <w:lang w:val="en-US"/>
        </w:rPr>
      </w:pPr>
    </w:p>
    <w:sectPr w:rsidR="00DC35D5" w:rsidRPr="00B918B4" w:rsidSect="0097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CDA"/>
    <w:multiLevelType w:val="hybridMultilevel"/>
    <w:tmpl w:val="70861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909"/>
    <w:multiLevelType w:val="multilevel"/>
    <w:tmpl w:val="49B0692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64409"/>
    <w:multiLevelType w:val="multilevel"/>
    <w:tmpl w:val="076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2069F"/>
    <w:multiLevelType w:val="hybridMultilevel"/>
    <w:tmpl w:val="73DA0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7D6AD4"/>
    <w:multiLevelType w:val="hybridMultilevel"/>
    <w:tmpl w:val="3D98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CE014D"/>
    <w:multiLevelType w:val="hybridMultilevel"/>
    <w:tmpl w:val="22380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50020"/>
    <w:multiLevelType w:val="hybridMultilevel"/>
    <w:tmpl w:val="8D9E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F500F"/>
    <w:multiLevelType w:val="hybridMultilevel"/>
    <w:tmpl w:val="6B68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65A42"/>
    <w:multiLevelType w:val="hybridMultilevel"/>
    <w:tmpl w:val="CF0ED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C679B"/>
    <w:multiLevelType w:val="hybridMultilevel"/>
    <w:tmpl w:val="ED0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F2D65"/>
    <w:multiLevelType w:val="hybridMultilevel"/>
    <w:tmpl w:val="4F7C9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C02A79"/>
    <w:multiLevelType w:val="multilevel"/>
    <w:tmpl w:val="8D9E6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71907"/>
    <w:multiLevelType w:val="hybridMultilevel"/>
    <w:tmpl w:val="B8FE702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DF0851"/>
    <w:multiLevelType w:val="hybridMultilevel"/>
    <w:tmpl w:val="5D6C8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F05481"/>
    <w:multiLevelType w:val="hybridMultilevel"/>
    <w:tmpl w:val="361C1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0C84564"/>
    <w:multiLevelType w:val="hybridMultilevel"/>
    <w:tmpl w:val="B21212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D07D6D"/>
    <w:multiLevelType w:val="hybridMultilevel"/>
    <w:tmpl w:val="49B0692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5FB0"/>
    <w:multiLevelType w:val="hybridMultilevel"/>
    <w:tmpl w:val="648CC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2D0EFC"/>
    <w:multiLevelType w:val="hybridMultilevel"/>
    <w:tmpl w:val="2822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512A9"/>
    <w:multiLevelType w:val="hybridMultilevel"/>
    <w:tmpl w:val="26DA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400A0"/>
    <w:multiLevelType w:val="hybridMultilevel"/>
    <w:tmpl w:val="3396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C1BA2"/>
    <w:multiLevelType w:val="hybridMultilevel"/>
    <w:tmpl w:val="901CFD6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B626E62"/>
    <w:multiLevelType w:val="hybridMultilevel"/>
    <w:tmpl w:val="D7DC8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15040"/>
    <w:multiLevelType w:val="multilevel"/>
    <w:tmpl w:val="6B6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D6798"/>
    <w:multiLevelType w:val="hybridMultilevel"/>
    <w:tmpl w:val="17BE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C2F5B"/>
    <w:multiLevelType w:val="multilevel"/>
    <w:tmpl w:val="E7D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475E1"/>
    <w:multiLevelType w:val="hybridMultilevel"/>
    <w:tmpl w:val="E01AFF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836FC4"/>
    <w:multiLevelType w:val="hybridMultilevel"/>
    <w:tmpl w:val="07523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20"/>
  </w:num>
  <w:num w:numId="8">
    <w:abstractNumId w:val="25"/>
  </w:num>
  <w:num w:numId="9">
    <w:abstractNumId w:val="9"/>
  </w:num>
  <w:num w:numId="10">
    <w:abstractNumId w:val="10"/>
  </w:num>
  <w:num w:numId="11">
    <w:abstractNumId w:val="0"/>
  </w:num>
  <w:num w:numId="12">
    <w:abstractNumId w:val="28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4"/>
  </w:num>
  <w:num w:numId="18">
    <w:abstractNumId w:val="13"/>
  </w:num>
  <w:num w:numId="19">
    <w:abstractNumId w:val="14"/>
  </w:num>
  <w:num w:numId="20">
    <w:abstractNumId w:val="3"/>
  </w:num>
  <w:num w:numId="21">
    <w:abstractNumId w:val="17"/>
  </w:num>
  <w:num w:numId="22">
    <w:abstractNumId w:val="1"/>
  </w:num>
  <w:num w:numId="23">
    <w:abstractNumId w:val="7"/>
  </w:num>
  <w:num w:numId="24">
    <w:abstractNumId w:val="26"/>
  </w:num>
  <w:num w:numId="25">
    <w:abstractNumId w:val="27"/>
  </w:num>
  <w:num w:numId="26">
    <w:abstractNumId w:val="12"/>
  </w:num>
  <w:num w:numId="27">
    <w:abstractNumId w:val="8"/>
  </w:num>
  <w:num w:numId="28">
    <w:abstractNumId w:val="24"/>
  </w:num>
  <w:num w:numId="29">
    <w:abstractNumId w:val="19"/>
  </w:num>
  <w:num w:numId="30">
    <w:abstractNumId w:val="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81"/>
    <w:rsid w:val="00001ABD"/>
    <w:rsid w:val="000042D3"/>
    <w:rsid w:val="000200CD"/>
    <w:rsid w:val="00042F48"/>
    <w:rsid w:val="0004565D"/>
    <w:rsid w:val="00050B81"/>
    <w:rsid w:val="00054FCF"/>
    <w:rsid w:val="000652C5"/>
    <w:rsid w:val="0008299C"/>
    <w:rsid w:val="000916E9"/>
    <w:rsid w:val="000A56A4"/>
    <w:rsid w:val="000B01EF"/>
    <w:rsid w:val="000B0683"/>
    <w:rsid w:val="000E0A37"/>
    <w:rsid w:val="000F017C"/>
    <w:rsid w:val="000F68E0"/>
    <w:rsid w:val="000F77C7"/>
    <w:rsid w:val="00114C7B"/>
    <w:rsid w:val="001173C2"/>
    <w:rsid w:val="00144F4B"/>
    <w:rsid w:val="001828CF"/>
    <w:rsid w:val="001869DD"/>
    <w:rsid w:val="001A3491"/>
    <w:rsid w:val="001A3F9B"/>
    <w:rsid w:val="001D341B"/>
    <w:rsid w:val="001E7E00"/>
    <w:rsid w:val="00202736"/>
    <w:rsid w:val="00215A16"/>
    <w:rsid w:val="002353AB"/>
    <w:rsid w:val="0024662F"/>
    <w:rsid w:val="0025660F"/>
    <w:rsid w:val="00264967"/>
    <w:rsid w:val="00271F53"/>
    <w:rsid w:val="00272C0D"/>
    <w:rsid w:val="0027624D"/>
    <w:rsid w:val="002C0D02"/>
    <w:rsid w:val="002C267A"/>
    <w:rsid w:val="002C2BAD"/>
    <w:rsid w:val="002C36E0"/>
    <w:rsid w:val="002D433C"/>
    <w:rsid w:val="002D5ADB"/>
    <w:rsid w:val="002D7A0B"/>
    <w:rsid w:val="002E6E1F"/>
    <w:rsid w:val="003165F1"/>
    <w:rsid w:val="00326EA0"/>
    <w:rsid w:val="00327C36"/>
    <w:rsid w:val="00330819"/>
    <w:rsid w:val="00344DDC"/>
    <w:rsid w:val="00353FF4"/>
    <w:rsid w:val="00363E13"/>
    <w:rsid w:val="003A5423"/>
    <w:rsid w:val="003B3C11"/>
    <w:rsid w:val="003B45BC"/>
    <w:rsid w:val="003D462C"/>
    <w:rsid w:val="003E6CD6"/>
    <w:rsid w:val="00404313"/>
    <w:rsid w:val="00413161"/>
    <w:rsid w:val="00420CB9"/>
    <w:rsid w:val="004324D0"/>
    <w:rsid w:val="00436B23"/>
    <w:rsid w:val="004467B7"/>
    <w:rsid w:val="00454956"/>
    <w:rsid w:val="00457012"/>
    <w:rsid w:val="00462422"/>
    <w:rsid w:val="00474C79"/>
    <w:rsid w:val="00475BFF"/>
    <w:rsid w:val="004943F5"/>
    <w:rsid w:val="004943F6"/>
    <w:rsid w:val="004A60D9"/>
    <w:rsid w:val="004A7F96"/>
    <w:rsid w:val="004D7105"/>
    <w:rsid w:val="004D7340"/>
    <w:rsid w:val="004F666D"/>
    <w:rsid w:val="00505C76"/>
    <w:rsid w:val="00521E10"/>
    <w:rsid w:val="00526671"/>
    <w:rsid w:val="00535FB8"/>
    <w:rsid w:val="005533E9"/>
    <w:rsid w:val="00570308"/>
    <w:rsid w:val="0058367C"/>
    <w:rsid w:val="00594265"/>
    <w:rsid w:val="005A35C4"/>
    <w:rsid w:val="005A7BD1"/>
    <w:rsid w:val="005B6FC3"/>
    <w:rsid w:val="005C16BE"/>
    <w:rsid w:val="005E1BF8"/>
    <w:rsid w:val="005E5BF0"/>
    <w:rsid w:val="006251D4"/>
    <w:rsid w:val="00633701"/>
    <w:rsid w:val="006378A1"/>
    <w:rsid w:val="0065179E"/>
    <w:rsid w:val="00661210"/>
    <w:rsid w:val="006649EB"/>
    <w:rsid w:val="006B35D1"/>
    <w:rsid w:val="006D2A29"/>
    <w:rsid w:val="006E5E2B"/>
    <w:rsid w:val="006F4471"/>
    <w:rsid w:val="007118BD"/>
    <w:rsid w:val="007225F8"/>
    <w:rsid w:val="00726337"/>
    <w:rsid w:val="00732FD9"/>
    <w:rsid w:val="0075166D"/>
    <w:rsid w:val="00754F53"/>
    <w:rsid w:val="0076238C"/>
    <w:rsid w:val="007858A4"/>
    <w:rsid w:val="00794ABC"/>
    <w:rsid w:val="00795F28"/>
    <w:rsid w:val="007A7309"/>
    <w:rsid w:val="007E60FC"/>
    <w:rsid w:val="007F48CC"/>
    <w:rsid w:val="00806724"/>
    <w:rsid w:val="008123C0"/>
    <w:rsid w:val="008166C4"/>
    <w:rsid w:val="00826669"/>
    <w:rsid w:val="008343A9"/>
    <w:rsid w:val="00842383"/>
    <w:rsid w:val="00850CF8"/>
    <w:rsid w:val="00853831"/>
    <w:rsid w:val="008563F5"/>
    <w:rsid w:val="00862810"/>
    <w:rsid w:val="00863EC0"/>
    <w:rsid w:val="0086547E"/>
    <w:rsid w:val="0087115B"/>
    <w:rsid w:val="00874303"/>
    <w:rsid w:val="008802E0"/>
    <w:rsid w:val="00886309"/>
    <w:rsid w:val="008867B7"/>
    <w:rsid w:val="008C3FD8"/>
    <w:rsid w:val="008D6F81"/>
    <w:rsid w:val="008F12A9"/>
    <w:rsid w:val="00907017"/>
    <w:rsid w:val="00920F79"/>
    <w:rsid w:val="00933C2F"/>
    <w:rsid w:val="00944D8E"/>
    <w:rsid w:val="009549CF"/>
    <w:rsid w:val="009634D9"/>
    <w:rsid w:val="00967BBC"/>
    <w:rsid w:val="009728CA"/>
    <w:rsid w:val="0097423A"/>
    <w:rsid w:val="00974C95"/>
    <w:rsid w:val="0097762B"/>
    <w:rsid w:val="00987910"/>
    <w:rsid w:val="009C1ACB"/>
    <w:rsid w:val="009F7EC9"/>
    <w:rsid w:val="00A264D0"/>
    <w:rsid w:val="00A27D37"/>
    <w:rsid w:val="00A4373E"/>
    <w:rsid w:val="00A45BD0"/>
    <w:rsid w:val="00A5075B"/>
    <w:rsid w:val="00A51DE0"/>
    <w:rsid w:val="00A52350"/>
    <w:rsid w:val="00A60E46"/>
    <w:rsid w:val="00AA41DD"/>
    <w:rsid w:val="00AB0156"/>
    <w:rsid w:val="00AB3764"/>
    <w:rsid w:val="00AC2D51"/>
    <w:rsid w:val="00B03969"/>
    <w:rsid w:val="00B10137"/>
    <w:rsid w:val="00B22B56"/>
    <w:rsid w:val="00B25922"/>
    <w:rsid w:val="00B66EDB"/>
    <w:rsid w:val="00B74894"/>
    <w:rsid w:val="00B84E4F"/>
    <w:rsid w:val="00B918B4"/>
    <w:rsid w:val="00B92DF1"/>
    <w:rsid w:val="00BB21A8"/>
    <w:rsid w:val="00BD6CD5"/>
    <w:rsid w:val="00BE17B0"/>
    <w:rsid w:val="00BF34E2"/>
    <w:rsid w:val="00BF6D32"/>
    <w:rsid w:val="00C13131"/>
    <w:rsid w:val="00C25506"/>
    <w:rsid w:val="00C42643"/>
    <w:rsid w:val="00C532D4"/>
    <w:rsid w:val="00C55CFB"/>
    <w:rsid w:val="00C645AC"/>
    <w:rsid w:val="00C70EDB"/>
    <w:rsid w:val="00C916E5"/>
    <w:rsid w:val="00CB244C"/>
    <w:rsid w:val="00CB553A"/>
    <w:rsid w:val="00CB5941"/>
    <w:rsid w:val="00CF5DD1"/>
    <w:rsid w:val="00D00691"/>
    <w:rsid w:val="00D00C91"/>
    <w:rsid w:val="00D13E6F"/>
    <w:rsid w:val="00D513A8"/>
    <w:rsid w:val="00D57ACC"/>
    <w:rsid w:val="00D72590"/>
    <w:rsid w:val="00D84122"/>
    <w:rsid w:val="00D84A37"/>
    <w:rsid w:val="00D8596B"/>
    <w:rsid w:val="00D94BE5"/>
    <w:rsid w:val="00DA0655"/>
    <w:rsid w:val="00DB43FE"/>
    <w:rsid w:val="00DB6CB4"/>
    <w:rsid w:val="00DC35D5"/>
    <w:rsid w:val="00DD6473"/>
    <w:rsid w:val="00DE42D2"/>
    <w:rsid w:val="00DF3B43"/>
    <w:rsid w:val="00E2099F"/>
    <w:rsid w:val="00E444B1"/>
    <w:rsid w:val="00E61588"/>
    <w:rsid w:val="00E67F99"/>
    <w:rsid w:val="00E75A3C"/>
    <w:rsid w:val="00E77CE9"/>
    <w:rsid w:val="00E81B42"/>
    <w:rsid w:val="00E955E4"/>
    <w:rsid w:val="00E962AB"/>
    <w:rsid w:val="00EB64AB"/>
    <w:rsid w:val="00ED37EC"/>
    <w:rsid w:val="00EF0BFB"/>
    <w:rsid w:val="00F0162B"/>
    <w:rsid w:val="00F0592A"/>
    <w:rsid w:val="00F32F3E"/>
    <w:rsid w:val="00F441C6"/>
    <w:rsid w:val="00F55C45"/>
    <w:rsid w:val="00F6277E"/>
    <w:rsid w:val="00F72533"/>
    <w:rsid w:val="00F76D3E"/>
    <w:rsid w:val="00F92BD2"/>
    <w:rsid w:val="00FA1298"/>
    <w:rsid w:val="00FA17F8"/>
    <w:rsid w:val="00FB3B1D"/>
    <w:rsid w:val="00FC4649"/>
    <w:rsid w:val="00F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3A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538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2736"/>
    <w:rPr>
      <w:rFonts w:cs="Times New Roman"/>
      <w:lang w:val="el-GR"/>
    </w:rPr>
  </w:style>
  <w:style w:type="character" w:customStyle="1" w:styleId="hps">
    <w:name w:val="hps"/>
    <w:basedOn w:val="DefaultParagraphFont"/>
    <w:uiPriority w:val="99"/>
    <w:rsid w:val="006251D4"/>
    <w:rPr>
      <w:rFonts w:cs="Times New Roman"/>
    </w:rPr>
  </w:style>
  <w:style w:type="paragraph" w:styleId="NormalWeb">
    <w:name w:val="Normal (Web)"/>
    <w:basedOn w:val="Normal"/>
    <w:uiPriority w:val="99"/>
    <w:rsid w:val="001A34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3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paragraph" w:styleId="2">
    <w:name w:val="Body Text 2"/>
    <w:basedOn w:val="a"/>
    <w:link w:val="2Char"/>
    <w:uiPriority w:val="99"/>
    <w:rsid w:val="008538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202736"/>
    <w:rPr>
      <w:rFonts w:cs="Times New Roman"/>
      <w:lang w:val="el-GR"/>
    </w:rPr>
  </w:style>
  <w:style w:type="character" w:customStyle="1" w:styleId="hps">
    <w:name w:val="hps"/>
    <w:basedOn w:val="a0"/>
    <w:uiPriority w:val="99"/>
    <w:rsid w:val="006251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D764-7AE8-4D7B-945A-B504872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1080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>Grizli777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ipsil</dc:creator>
  <cp:lastModifiedBy>Zoe</cp:lastModifiedBy>
  <cp:revision>9</cp:revision>
  <cp:lastPrinted>2016-01-26T14:55:00Z</cp:lastPrinted>
  <dcterms:created xsi:type="dcterms:W3CDTF">2016-02-07T09:46:00Z</dcterms:created>
  <dcterms:modified xsi:type="dcterms:W3CDTF">2016-02-10T15:54:00Z</dcterms:modified>
</cp:coreProperties>
</file>